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01" w:rsidRDefault="00784801" w:rsidP="00784801">
      <w:pPr>
        <w:spacing w:line="240" w:lineRule="auto"/>
        <w:outlineLvl w:val="0"/>
      </w:pPr>
    </w:p>
    <w:p w:rsidR="00784801" w:rsidRPr="00784801" w:rsidRDefault="00784801" w:rsidP="00784801">
      <w:pPr>
        <w:pStyle w:val="ListParagraph"/>
        <w:spacing w:line="240" w:lineRule="auto"/>
        <w:outlineLvl w:val="0"/>
        <w:rPr>
          <w:rFonts w:ascii="Times New Roman" w:eastAsia="Times New Roman" w:hAnsi="Times New Roman" w:cs="Times New Roman"/>
          <w:b/>
          <w:bCs/>
          <w:color w:val="000000" w:themeColor="text1"/>
          <w:kern w:val="36"/>
          <w:lang w:val="en-GB" w:eastAsia="en-AU"/>
        </w:rPr>
      </w:pPr>
    </w:p>
    <w:p w:rsidR="00784801" w:rsidRPr="00784801" w:rsidRDefault="00784801" w:rsidP="00784801">
      <w:pPr>
        <w:pStyle w:val="ListParagraph"/>
        <w:spacing w:line="240" w:lineRule="auto"/>
        <w:outlineLvl w:val="0"/>
        <w:rPr>
          <w:rFonts w:ascii="Times New Roman" w:eastAsia="Times New Roman" w:hAnsi="Times New Roman" w:cs="Times New Roman"/>
          <w:b/>
          <w:bCs/>
          <w:color w:val="000000" w:themeColor="text1"/>
          <w:kern w:val="36"/>
          <w:lang w:val="en-GB" w:eastAsia="en-AU"/>
        </w:rPr>
      </w:pPr>
    </w:p>
    <w:p w:rsidR="00784801" w:rsidRPr="00784801" w:rsidRDefault="00784801" w:rsidP="00784801">
      <w:pPr>
        <w:pStyle w:val="ListParagraph"/>
        <w:spacing w:line="240" w:lineRule="auto"/>
        <w:outlineLvl w:val="0"/>
        <w:rPr>
          <w:rFonts w:ascii="Times New Roman" w:eastAsia="Times New Roman" w:hAnsi="Times New Roman" w:cs="Times New Roman"/>
          <w:b/>
          <w:bCs/>
          <w:color w:val="000000" w:themeColor="text1"/>
          <w:kern w:val="36"/>
          <w:sz w:val="32"/>
          <w:szCs w:val="32"/>
          <w:lang w:val="en-GB" w:eastAsia="en-AU"/>
        </w:rPr>
      </w:pPr>
      <w:r w:rsidRPr="00784801">
        <w:rPr>
          <w:rFonts w:ascii="Times New Roman" w:eastAsia="Times New Roman" w:hAnsi="Times New Roman" w:cs="Times New Roman"/>
          <w:b/>
          <w:bCs/>
          <w:color w:val="000000" w:themeColor="text1"/>
          <w:kern w:val="36"/>
          <w:sz w:val="32"/>
          <w:szCs w:val="32"/>
          <w:lang w:val="en-GB" w:eastAsia="en-AU"/>
        </w:rPr>
        <w:t xml:space="preserve">Australian </w:t>
      </w:r>
      <w:r w:rsidR="007F71B9">
        <w:rPr>
          <w:rFonts w:ascii="Times New Roman" w:eastAsia="Times New Roman" w:hAnsi="Times New Roman" w:cs="Times New Roman"/>
          <w:b/>
          <w:bCs/>
          <w:color w:val="000000" w:themeColor="text1"/>
          <w:kern w:val="36"/>
          <w:sz w:val="32"/>
          <w:szCs w:val="32"/>
          <w:lang w:val="en-GB" w:eastAsia="en-AU"/>
        </w:rPr>
        <w:t>Native Hardwood species:</w:t>
      </w:r>
      <w:r>
        <w:rPr>
          <w:rFonts w:ascii="Times New Roman" w:eastAsia="Times New Roman" w:hAnsi="Times New Roman" w:cs="Times New Roman"/>
          <w:b/>
          <w:bCs/>
          <w:color w:val="000000" w:themeColor="text1"/>
          <w:kern w:val="36"/>
          <w:sz w:val="32"/>
          <w:szCs w:val="32"/>
          <w:lang w:val="en-GB" w:eastAsia="en-AU"/>
        </w:rPr>
        <w:t xml:space="preserve"> </w:t>
      </w:r>
      <w:proofErr w:type="spellStart"/>
      <w:r>
        <w:rPr>
          <w:rFonts w:ascii="Times New Roman" w:eastAsia="Times New Roman" w:hAnsi="Times New Roman" w:cs="Times New Roman"/>
          <w:b/>
          <w:bCs/>
          <w:color w:val="000000" w:themeColor="text1"/>
          <w:kern w:val="36"/>
          <w:sz w:val="32"/>
          <w:szCs w:val="32"/>
          <w:lang w:val="en-GB" w:eastAsia="en-AU"/>
        </w:rPr>
        <w:t>Gidgee</w:t>
      </w:r>
      <w:proofErr w:type="spellEnd"/>
    </w:p>
    <w:p w:rsidR="00784801" w:rsidRPr="00784801" w:rsidRDefault="00784801" w:rsidP="00784801">
      <w:pPr>
        <w:pStyle w:val="ListParagraph"/>
        <w:spacing w:line="240" w:lineRule="auto"/>
        <w:outlineLvl w:val="0"/>
        <w:rPr>
          <w:rFonts w:ascii="Times New Roman" w:eastAsia="Times New Roman" w:hAnsi="Times New Roman" w:cs="Times New Roman"/>
          <w:b/>
          <w:bCs/>
          <w:color w:val="000000" w:themeColor="text1"/>
          <w:kern w:val="36"/>
          <w:lang w:val="en-GB" w:eastAsia="en-AU"/>
        </w:rPr>
      </w:pPr>
    </w:p>
    <w:p w:rsidR="00784801" w:rsidRPr="00784801" w:rsidRDefault="00784801" w:rsidP="00784801">
      <w:pPr>
        <w:pStyle w:val="ListParagraph"/>
        <w:numPr>
          <w:ilvl w:val="0"/>
          <w:numId w:val="2"/>
        </w:numPr>
        <w:spacing w:after="150" w:line="240" w:lineRule="auto"/>
        <w:outlineLvl w:val="0"/>
        <w:rPr>
          <w:rFonts w:ascii="Times New Roman" w:eastAsia="Times New Roman" w:hAnsi="Times New Roman" w:cs="Times New Roman"/>
          <w:bCs/>
          <w:kern w:val="36"/>
          <w:lang w:val="en-GB" w:eastAsia="en-AU"/>
        </w:rPr>
      </w:pPr>
      <w:r w:rsidRPr="00784801">
        <w:rPr>
          <w:rFonts w:ascii="Times New Roman" w:eastAsia="Times New Roman" w:hAnsi="Times New Roman" w:cs="Times New Roman"/>
          <w:b/>
          <w:bCs/>
          <w:color w:val="000000" w:themeColor="text1"/>
          <w:kern w:val="36"/>
          <w:lang w:val="en-GB" w:eastAsia="en-AU"/>
        </w:rPr>
        <w:t xml:space="preserve"> </w:t>
      </w:r>
      <w:proofErr w:type="spellStart"/>
      <w:r w:rsidRPr="00784801">
        <w:rPr>
          <w:rFonts w:ascii="Times New Roman" w:eastAsia="Times New Roman" w:hAnsi="Times New Roman" w:cs="Times New Roman"/>
          <w:b/>
          <w:bCs/>
          <w:color w:val="000000" w:themeColor="text1"/>
          <w:kern w:val="36"/>
          <w:lang w:val="en-GB" w:eastAsia="en-AU"/>
        </w:rPr>
        <w:t>Gidgee</w:t>
      </w:r>
      <w:proofErr w:type="spellEnd"/>
      <w:r w:rsidRPr="00784801">
        <w:rPr>
          <w:rFonts w:ascii="Times New Roman" w:eastAsia="Times New Roman" w:hAnsi="Times New Roman" w:cs="Times New Roman"/>
          <w:b/>
          <w:bCs/>
          <w:color w:val="000000" w:themeColor="text1"/>
          <w:kern w:val="36"/>
          <w:lang w:val="en-GB" w:eastAsia="en-AU"/>
        </w:rPr>
        <w:t xml:space="preserve"> </w:t>
      </w:r>
      <w:r>
        <w:rPr>
          <w:rFonts w:ascii="Times New Roman" w:eastAsia="Times New Roman" w:hAnsi="Times New Roman" w:cs="Times New Roman"/>
          <w:b/>
          <w:bCs/>
          <w:color w:val="000000" w:themeColor="text1"/>
          <w:kern w:val="36"/>
          <w:lang w:val="en-GB" w:eastAsia="en-AU"/>
        </w:rPr>
        <w:t xml:space="preserve"> </w:t>
      </w:r>
      <w:hyperlink r:id="rId6" w:tooltip="Acacia Cambagei" w:history="1">
        <w:r w:rsidRPr="00784801">
          <w:rPr>
            <w:rFonts w:ascii="Times New Roman" w:eastAsia="Times New Roman" w:hAnsi="Times New Roman" w:cs="Times New Roman"/>
            <w:bCs/>
            <w:kern w:val="36"/>
            <w:lang w:val="en-GB" w:eastAsia="en-AU"/>
          </w:rPr>
          <w:t xml:space="preserve">Acacia </w:t>
        </w:r>
        <w:proofErr w:type="spellStart"/>
        <w:r w:rsidRPr="00784801">
          <w:rPr>
            <w:rFonts w:ascii="Times New Roman" w:eastAsia="Times New Roman" w:hAnsi="Times New Roman" w:cs="Times New Roman"/>
            <w:bCs/>
            <w:kern w:val="36"/>
            <w:lang w:val="en-GB" w:eastAsia="en-AU"/>
          </w:rPr>
          <w:t>Cambagei</w:t>
        </w:r>
        <w:proofErr w:type="spellEnd"/>
      </w:hyperlink>
      <w:r w:rsidRPr="00784801">
        <w:rPr>
          <w:rFonts w:ascii="Times New Roman" w:eastAsia="Times New Roman" w:hAnsi="Times New Roman" w:cs="Times New Roman"/>
          <w:bCs/>
          <w:kern w:val="36"/>
          <w:lang w:val="en-GB" w:eastAsia="en-AU"/>
        </w:rPr>
        <w:t xml:space="preserve"> </w:t>
      </w:r>
    </w:p>
    <w:p w:rsidR="00784801" w:rsidRPr="00784801" w:rsidRDefault="00784801" w:rsidP="00784801">
      <w:pPr>
        <w:pStyle w:val="ListParagraph"/>
        <w:spacing w:after="150" w:line="240" w:lineRule="auto"/>
        <w:outlineLvl w:val="0"/>
        <w:rPr>
          <w:rFonts w:ascii="Times New Roman" w:eastAsia="Times New Roman" w:hAnsi="Times New Roman" w:cs="Times New Roman"/>
          <w:bCs/>
          <w:kern w:val="36"/>
          <w:lang w:val="en-GB" w:eastAsia="en-AU"/>
        </w:rPr>
      </w:pPr>
    </w:p>
    <w:p w:rsidR="007E2C22" w:rsidRPr="00784801" w:rsidRDefault="00A2092F" w:rsidP="0049084F">
      <w:pPr>
        <w:pStyle w:val="PlainText"/>
        <w:rPr>
          <w:rFonts w:ascii="Times New Roman" w:hAnsi="Times New Roman" w:cs="Times New Roman"/>
        </w:rPr>
      </w:pPr>
      <w:r w:rsidRPr="00784801">
        <w:rPr>
          <w:rFonts w:ascii="Times New Roman" w:hAnsi="Times New Roman" w:cs="Times New Roman"/>
        </w:rPr>
        <w:t xml:space="preserve">Photos of Gidgee </w:t>
      </w:r>
      <w:r w:rsidR="009F4AB8" w:rsidRPr="00784801">
        <w:rPr>
          <w:rFonts w:ascii="Times New Roman" w:hAnsi="Times New Roman" w:cs="Times New Roman"/>
        </w:rPr>
        <w:t>timbers</w:t>
      </w:r>
      <w:r w:rsidRPr="00784801">
        <w:rPr>
          <w:rFonts w:ascii="Times New Roman" w:hAnsi="Times New Roman" w:cs="Times New Roman"/>
        </w:rPr>
        <w:t xml:space="preserve"> show the rich colour and very tight grain.</w:t>
      </w:r>
    </w:p>
    <w:p w:rsidR="007E2C22" w:rsidRDefault="007E2C22" w:rsidP="0049084F">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2989"/>
        <w:gridCol w:w="3053"/>
      </w:tblGrid>
      <w:tr w:rsidR="007E2C22" w:rsidRPr="00A2092F" w:rsidTr="00784801">
        <w:tc>
          <w:tcPr>
            <w:tcW w:w="3080" w:type="dxa"/>
          </w:tcPr>
          <w:p w:rsidR="007E2C22" w:rsidRPr="00A2092F" w:rsidRDefault="007E2C22" w:rsidP="00A2092F">
            <w:pPr>
              <w:pStyle w:val="PlainText"/>
              <w:jc w:val="center"/>
              <w:rPr>
                <w:rFonts w:ascii="Times New Roman" w:hAnsi="Times New Roman" w:cs="Times New Roman"/>
                <w:sz w:val="18"/>
                <w:szCs w:val="18"/>
              </w:rPr>
            </w:pPr>
            <w:r w:rsidRPr="00A2092F">
              <w:rPr>
                <w:rFonts w:ascii="Times New Roman" w:hAnsi="Times New Roman" w:cs="Times New Roman"/>
                <w:noProof/>
                <w:sz w:val="18"/>
                <w:szCs w:val="18"/>
                <w:lang w:eastAsia="en-AU"/>
              </w:rPr>
              <w:drawing>
                <wp:inline distT="0" distB="0" distL="0" distR="0" wp14:anchorId="515B7E0E" wp14:editId="3DFFB93A">
                  <wp:extent cx="1895048" cy="1527732"/>
                  <wp:effectExtent l="0" t="0" r="0" b="0"/>
                  <wp:docPr id="5" name="Picture 5" descr="C:\Users\david bliss\Documents\AUSTRALIAN TIMBER FILES\Gidgee timber file\Gidgee timber middle and left, Lance woo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 bliss\Documents\AUSTRALIAN TIMBER FILES\Gidgee timber file\Gidgee timber middle and left, Lance wood r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510" cy="1529717"/>
                          </a:xfrm>
                          <a:prstGeom prst="rect">
                            <a:avLst/>
                          </a:prstGeom>
                          <a:noFill/>
                          <a:ln>
                            <a:noFill/>
                          </a:ln>
                        </pic:spPr>
                      </pic:pic>
                    </a:graphicData>
                  </a:graphic>
                </wp:inline>
              </w:drawing>
            </w:r>
          </w:p>
          <w:p w:rsidR="00A2092F" w:rsidRPr="00A2092F" w:rsidRDefault="00A2092F" w:rsidP="0049084F">
            <w:pPr>
              <w:pStyle w:val="PlainText"/>
              <w:rPr>
                <w:rFonts w:ascii="Times New Roman" w:hAnsi="Times New Roman" w:cs="Times New Roman"/>
                <w:sz w:val="18"/>
                <w:szCs w:val="18"/>
              </w:rPr>
            </w:pPr>
            <w:r w:rsidRPr="00A2092F">
              <w:rPr>
                <w:rFonts w:ascii="Times New Roman" w:hAnsi="Times New Roman" w:cs="Times New Roman"/>
                <w:sz w:val="18"/>
                <w:szCs w:val="18"/>
              </w:rPr>
              <w:t>Two left hand timbers Gidgee, right hand</w:t>
            </w:r>
            <w:r w:rsidR="00784801">
              <w:rPr>
                <w:rFonts w:ascii="Times New Roman" w:hAnsi="Times New Roman" w:cs="Times New Roman"/>
                <w:sz w:val="18"/>
                <w:szCs w:val="18"/>
              </w:rPr>
              <w:t xml:space="preserve"> timber</w:t>
            </w:r>
            <w:r w:rsidRPr="00A2092F">
              <w:rPr>
                <w:rFonts w:ascii="Times New Roman" w:hAnsi="Times New Roman" w:cs="Times New Roman"/>
                <w:sz w:val="18"/>
                <w:szCs w:val="18"/>
              </w:rPr>
              <w:t xml:space="preserve"> Lance wood.</w:t>
            </w:r>
          </w:p>
        </w:tc>
        <w:tc>
          <w:tcPr>
            <w:tcW w:w="3081" w:type="dxa"/>
          </w:tcPr>
          <w:p w:rsidR="007E2C22" w:rsidRDefault="007E2C22" w:rsidP="00A2092F">
            <w:pPr>
              <w:pStyle w:val="PlainText"/>
              <w:jc w:val="center"/>
              <w:rPr>
                <w:rFonts w:ascii="Times New Roman" w:hAnsi="Times New Roman" w:cs="Times New Roman"/>
                <w:sz w:val="18"/>
                <w:szCs w:val="18"/>
              </w:rPr>
            </w:pPr>
            <w:r w:rsidRPr="00A2092F">
              <w:rPr>
                <w:rFonts w:ascii="Times New Roman" w:hAnsi="Times New Roman" w:cs="Times New Roman"/>
                <w:noProof/>
                <w:sz w:val="18"/>
                <w:szCs w:val="18"/>
                <w:lang w:eastAsia="en-AU"/>
              </w:rPr>
              <w:drawing>
                <wp:inline distT="0" distB="0" distL="0" distR="0" wp14:anchorId="1671AD41" wp14:editId="22105F85">
                  <wp:extent cx="542786" cy="1574358"/>
                  <wp:effectExtent l="0" t="0" r="0" b="6985"/>
                  <wp:docPr id="6" name="Picture 6" descr="C:\Users\david bliss\Documents\AUSTRALIAN TIMBER FILES\Gidgee timber file\Gidgee timber floorin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 bliss\Documents\AUSTRALIAN TIMBER FILES\Gidgee timber file\Gidgee timber flooring 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474" cy="1579253"/>
                          </a:xfrm>
                          <a:prstGeom prst="rect">
                            <a:avLst/>
                          </a:prstGeom>
                          <a:noFill/>
                          <a:ln>
                            <a:noFill/>
                          </a:ln>
                        </pic:spPr>
                      </pic:pic>
                    </a:graphicData>
                  </a:graphic>
                </wp:inline>
              </w:drawing>
            </w:r>
          </w:p>
          <w:p w:rsidR="00A2092F" w:rsidRPr="00A2092F" w:rsidRDefault="00A2092F" w:rsidP="00A2092F">
            <w:pPr>
              <w:pStyle w:val="PlainText"/>
              <w:jc w:val="center"/>
              <w:rPr>
                <w:rFonts w:ascii="Times New Roman" w:hAnsi="Times New Roman" w:cs="Times New Roman"/>
                <w:sz w:val="18"/>
                <w:szCs w:val="18"/>
              </w:rPr>
            </w:pPr>
            <w:r>
              <w:rPr>
                <w:rFonts w:ascii="Times New Roman" w:hAnsi="Times New Roman" w:cs="Times New Roman"/>
                <w:sz w:val="18"/>
                <w:szCs w:val="18"/>
              </w:rPr>
              <w:t>Gidgee as flooring blank.</w:t>
            </w:r>
          </w:p>
        </w:tc>
        <w:tc>
          <w:tcPr>
            <w:tcW w:w="3081" w:type="dxa"/>
          </w:tcPr>
          <w:p w:rsidR="007E2C22" w:rsidRDefault="00A2092F" w:rsidP="00A2092F">
            <w:pPr>
              <w:pStyle w:val="PlainText"/>
              <w:jc w:val="center"/>
              <w:rPr>
                <w:rFonts w:ascii="Times New Roman" w:hAnsi="Times New Roman" w:cs="Times New Roman"/>
                <w:sz w:val="18"/>
                <w:szCs w:val="18"/>
              </w:rPr>
            </w:pPr>
            <w:r w:rsidRPr="00A2092F">
              <w:rPr>
                <w:rFonts w:ascii="Times New Roman" w:hAnsi="Times New Roman" w:cs="Times New Roman"/>
                <w:noProof/>
                <w:sz w:val="18"/>
                <w:szCs w:val="18"/>
                <w:lang w:eastAsia="en-AU"/>
              </w:rPr>
              <w:drawing>
                <wp:inline distT="0" distB="0" distL="0" distR="0" wp14:anchorId="692D410A" wp14:editId="082500AA">
                  <wp:extent cx="1423283" cy="1538155"/>
                  <wp:effectExtent l="0" t="0" r="5715" b="5080"/>
                  <wp:docPr id="7" name="Picture 7" descr="C:\Users\david bliss\Documents\gid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 bliss\Documents\gid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836" cy="1543075"/>
                          </a:xfrm>
                          <a:prstGeom prst="rect">
                            <a:avLst/>
                          </a:prstGeom>
                          <a:noFill/>
                          <a:ln>
                            <a:noFill/>
                          </a:ln>
                        </pic:spPr>
                      </pic:pic>
                    </a:graphicData>
                  </a:graphic>
                </wp:inline>
              </w:drawing>
            </w:r>
          </w:p>
          <w:p w:rsidR="00A2092F" w:rsidRPr="00A2092F" w:rsidRDefault="00A2092F" w:rsidP="00A2092F">
            <w:pPr>
              <w:pStyle w:val="PlainText"/>
              <w:jc w:val="center"/>
              <w:rPr>
                <w:rFonts w:ascii="Times New Roman" w:hAnsi="Times New Roman" w:cs="Times New Roman"/>
                <w:sz w:val="18"/>
                <w:szCs w:val="18"/>
              </w:rPr>
            </w:pPr>
            <w:r>
              <w:rPr>
                <w:rFonts w:ascii="Times New Roman" w:hAnsi="Times New Roman" w:cs="Times New Roman"/>
                <w:sz w:val="18"/>
                <w:szCs w:val="18"/>
              </w:rPr>
              <w:t>Gidgee sawn log end grain</w:t>
            </w:r>
          </w:p>
        </w:tc>
      </w:tr>
    </w:tbl>
    <w:p w:rsidR="007E2C22" w:rsidRPr="00A2092F" w:rsidRDefault="007E2C22" w:rsidP="0049084F">
      <w:pPr>
        <w:pStyle w:val="PlainText"/>
        <w:rPr>
          <w:rFonts w:ascii="Times New Roman" w:hAnsi="Times New Roman" w:cs="Times New Roman"/>
          <w:sz w:val="18"/>
          <w:szCs w:val="18"/>
        </w:rPr>
      </w:pPr>
    </w:p>
    <w:p w:rsidR="00784801" w:rsidRPr="00784801" w:rsidRDefault="00784801" w:rsidP="00784801">
      <w:pPr>
        <w:pStyle w:val="ListParagraph"/>
        <w:spacing w:after="150" w:line="240" w:lineRule="auto"/>
        <w:outlineLvl w:val="0"/>
        <w:rPr>
          <w:rFonts w:ascii="Times New Roman" w:eastAsia="Times New Roman" w:hAnsi="Times New Roman" w:cs="Times New Roman"/>
          <w:bCs/>
          <w:kern w:val="36"/>
          <w:lang w:val="en-GB" w:eastAsia="en-AU"/>
        </w:rPr>
      </w:pPr>
    </w:p>
    <w:p w:rsidR="00784801" w:rsidRPr="00784801" w:rsidRDefault="00784801" w:rsidP="007F71B9">
      <w:pPr>
        <w:pStyle w:val="ListParagraph"/>
        <w:spacing w:after="0" w:line="300" w:lineRule="atLeast"/>
        <w:rPr>
          <w:rFonts w:ascii="Times New Roman" w:eastAsia="Times New Roman" w:hAnsi="Times New Roman" w:cs="Times New Roman"/>
          <w:bCs/>
          <w:color w:val="000000" w:themeColor="text1"/>
          <w:lang w:val="en-GB" w:eastAsia="en-AU"/>
        </w:rPr>
      </w:pPr>
      <w:r w:rsidRPr="00784801">
        <w:rPr>
          <w:rFonts w:ascii="Times New Roman" w:eastAsia="Times New Roman" w:hAnsi="Times New Roman" w:cs="Times New Roman"/>
          <w:bCs/>
          <w:color w:val="000000" w:themeColor="text1"/>
          <w:lang w:val="en-GB" w:eastAsia="en-AU"/>
        </w:rPr>
        <w:t>Details:</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Gidgee logs are small.</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Spec - minimum top end Diameter 16</w:t>
      </w:r>
      <w:r w:rsidR="007F71B9">
        <w:rPr>
          <w:rFonts w:ascii="Times New Roman" w:hAnsi="Times New Roman" w:cs="Times New Roman"/>
        </w:rPr>
        <w:t xml:space="preserve"> </w:t>
      </w:r>
      <w:proofErr w:type="gramStart"/>
      <w:r w:rsidRPr="00784801">
        <w:rPr>
          <w:rFonts w:ascii="Times New Roman" w:hAnsi="Times New Roman" w:cs="Times New Roman"/>
        </w:rPr>
        <w:t>cm .</w:t>
      </w:r>
      <w:proofErr w:type="gramEnd"/>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 xml:space="preserve">Length 1.8 m and </w:t>
      </w:r>
      <w:proofErr w:type="gramStart"/>
      <w:r w:rsidRPr="00784801">
        <w:rPr>
          <w:rFonts w:ascii="Times New Roman" w:hAnsi="Times New Roman" w:cs="Times New Roman"/>
        </w:rPr>
        <w:t>longer .</w:t>
      </w:r>
      <w:proofErr w:type="gramEnd"/>
      <w:r w:rsidRPr="00784801">
        <w:rPr>
          <w:rFonts w:ascii="Times New Roman" w:hAnsi="Times New Roman" w:cs="Times New Roman"/>
        </w:rPr>
        <w:t xml:space="preserve"> </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 xml:space="preserve">20% of logs will show some pipe.  </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Big volume available.</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 xml:space="preserve">Species suits Parquetry because short lengths and Diameters. </w:t>
      </w:r>
    </w:p>
    <w:p w:rsidR="00784801" w:rsidRPr="00784801" w:rsidRDefault="00784801" w:rsidP="00784801">
      <w:pPr>
        <w:pStyle w:val="PlainText"/>
        <w:numPr>
          <w:ilvl w:val="0"/>
          <w:numId w:val="2"/>
        </w:numPr>
        <w:rPr>
          <w:rFonts w:ascii="Times New Roman" w:hAnsi="Times New Roman" w:cs="Times New Roman"/>
        </w:rPr>
      </w:pPr>
      <w:r w:rsidRPr="00784801">
        <w:rPr>
          <w:rFonts w:ascii="Times New Roman" w:hAnsi="Times New Roman" w:cs="Times New Roman"/>
        </w:rPr>
        <w:t>Chinese use Lancewood which also small Diameter.</w:t>
      </w:r>
    </w:p>
    <w:p w:rsidR="00784801" w:rsidRDefault="00784801" w:rsidP="00784801">
      <w:pPr>
        <w:pStyle w:val="PlainText"/>
      </w:pPr>
    </w:p>
    <w:p w:rsidR="00784801" w:rsidRPr="00784801" w:rsidRDefault="00784801" w:rsidP="00784801">
      <w:pPr>
        <w:pStyle w:val="ListParagraph"/>
        <w:spacing w:after="0" w:line="300" w:lineRule="atLeast"/>
        <w:rPr>
          <w:rFonts w:ascii="Times New Roman" w:eastAsia="Times New Roman" w:hAnsi="Times New Roman" w:cs="Times New Roman"/>
          <w:bCs/>
          <w:color w:val="000000" w:themeColor="text1"/>
          <w:lang w:val="en-GB" w:eastAsia="en-AU"/>
        </w:rPr>
      </w:pPr>
    </w:p>
    <w:p w:rsidR="00784801" w:rsidRPr="00784801" w:rsidRDefault="00784801" w:rsidP="00784801">
      <w:pPr>
        <w:pStyle w:val="ListParagraph"/>
        <w:spacing w:after="0" w:line="300" w:lineRule="atLeast"/>
        <w:rPr>
          <w:rFonts w:ascii="Times New Roman" w:eastAsia="Times New Roman" w:hAnsi="Times New Roman" w:cs="Times New Roman"/>
          <w:color w:val="000000" w:themeColor="text1"/>
          <w:lang w:val="en-GB" w:eastAsia="en-AU"/>
        </w:rPr>
      </w:pPr>
    </w:p>
    <w:p w:rsidR="00784801" w:rsidRPr="00784801" w:rsidRDefault="00784801" w:rsidP="00784801">
      <w:pPr>
        <w:pStyle w:val="ListParagraph"/>
        <w:numPr>
          <w:ilvl w:val="0"/>
          <w:numId w:val="2"/>
        </w:numPr>
        <w:spacing w:after="150" w:line="300" w:lineRule="atLeast"/>
        <w:rPr>
          <w:rFonts w:ascii="Times New Roman" w:eastAsia="Times New Roman" w:hAnsi="Times New Roman" w:cs="Times New Roman"/>
          <w:color w:val="000000" w:themeColor="text1"/>
          <w:lang w:val="en-GB" w:eastAsia="en-AU"/>
        </w:rPr>
      </w:pPr>
      <w:proofErr w:type="spellStart"/>
      <w:r w:rsidRPr="00784801">
        <w:rPr>
          <w:rFonts w:ascii="Times New Roman" w:eastAsia="Times New Roman" w:hAnsi="Times New Roman" w:cs="Times New Roman"/>
          <w:color w:val="000000" w:themeColor="text1"/>
          <w:lang w:val="en-GB" w:eastAsia="en-AU"/>
        </w:rPr>
        <w:t>Gidgee</w:t>
      </w:r>
      <w:proofErr w:type="spellEnd"/>
      <w:r w:rsidRPr="00784801">
        <w:rPr>
          <w:rFonts w:ascii="Times New Roman" w:eastAsia="Times New Roman" w:hAnsi="Times New Roman" w:cs="Times New Roman"/>
          <w:color w:val="000000" w:themeColor="text1"/>
          <w:lang w:val="en-GB" w:eastAsia="en-AU"/>
        </w:rPr>
        <w:t xml:space="preserve"> wood (Acacia </w:t>
      </w:r>
      <w:proofErr w:type="spellStart"/>
      <w:r w:rsidRPr="00784801">
        <w:rPr>
          <w:rFonts w:ascii="Times New Roman" w:eastAsia="Times New Roman" w:hAnsi="Times New Roman" w:cs="Times New Roman"/>
          <w:color w:val="000000" w:themeColor="text1"/>
          <w:lang w:val="en-GB" w:eastAsia="en-AU"/>
        </w:rPr>
        <w:t>Cambagei</w:t>
      </w:r>
      <w:proofErr w:type="spellEnd"/>
      <w:r w:rsidRPr="00784801">
        <w:rPr>
          <w:rFonts w:ascii="Times New Roman" w:eastAsia="Times New Roman" w:hAnsi="Times New Roman" w:cs="Times New Roman"/>
          <w:color w:val="000000" w:themeColor="text1"/>
          <w:lang w:val="en-GB" w:eastAsia="en-AU"/>
        </w:rPr>
        <w:t xml:space="preserve">) is commonly known as "Stinking Wattle". It is also one of the hardest timbers in the world. </w:t>
      </w:r>
      <w:proofErr w:type="spellStart"/>
      <w:r w:rsidRPr="00784801">
        <w:rPr>
          <w:rFonts w:ascii="Times New Roman" w:eastAsia="Times New Roman" w:hAnsi="Times New Roman" w:cs="Times New Roman"/>
          <w:color w:val="000000" w:themeColor="text1"/>
          <w:lang w:val="en-GB" w:eastAsia="en-AU"/>
        </w:rPr>
        <w:t>Gidgee</w:t>
      </w:r>
      <w:proofErr w:type="spellEnd"/>
      <w:r w:rsidRPr="00784801">
        <w:rPr>
          <w:rFonts w:ascii="Times New Roman" w:eastAsia="Times New Roman" w:hAnsi="Times New Roman" w:cs="Times New Roman"/>
          <w:color w:val="000000" w:themeColor="text1"/>
          <w:lang w:val="en-GB" w:eastAsia="en-AU"/>
        </w:rPr>
        <w:t xml:space="preserve"> wood has a reputation as one of the most beautiful timbers turned or carved. It has very distinct colours, fine grain and extreme hardness.</w:t>
      </w:r>
    </w:p>
    <w:p w:rsidR="00784801" w:rsidRDefault="00784801" w:rsidP="00784801">
      <w:pPr>
        <w:pStyle w:val="ListParagraph"/>
        <w:numPr>
          <w:ilvl w:val="0"/>
          <w:numId w:val="2"/>
        </w:numPr>
        <w:spacing w:after="150" w:line="300" w:lineRule="atLeast"/>
        <w:rPr>
          <w:rFonts w:ascii="Times New Roman" w:eastAsia="Times New Roman" w:hAnsi="Times New Roman" w:cs="Times New Roman"/>
          <w:color w:val="000000" w:themeColor="text1"/>
          <w:lang w:val="en-GB" w:eastAsia="en-AU"/>
        </w:rPr>
      </w:pPr>
      <w:r w:rsidRPr="00784801">
        <w:rPr>
          <w:rFonts w:ascii="Times New Roman" w:eastAsia="Times New Roman" w:hAnsi="Times New Roman" w:cs="Times New Roman"/>
          <w:color w:val="000000" w:themeColor="text1"/>
          <w:lang w:val="en-GB" w:eastAsia="en-AU"/>
        </w:rPr>
        <w:t xml:space="preserve">It grows in the arid outback of Queensland and Northern Territory. Some trees grow up to 600mm in diameter and over 10m tall. It is a dense timber, weighing 1300kg per cubic metre. </w:t>
      </w:r>
    </w:p>
    <w:p w:rsidR="00784801" w:rsidRDefault="00784801" w:rsidP="00784801">
      <w:pPr>
        <w:pStyle w:val="ListParagraph"/>
        <w:numPr>
          <w:ilvl w:val="0"/>
          <w:numId w:val="2"/>
        </w:numPr>
        <w:spacing w:after="150" w:line="300" w:lineRule="atLeast"/>
        <w:rPr>
          <w:rFonts w:ascii="Times New Roman" w:eastAsia="Times New Roman" w:hAnsi="Times New Roman" w:cs="Times New Roman"/>
          <w:color w:val="000000" w:themeColor="text1"/>
          <w:lang w:val="en-GB" w:eastAsia="en-AU"/>
        </w:rPr>
      </w:pPr>
      <w:proofErr w:type="spellStart"/>
      <w:r w:rsidRPr="00784801">
        <w:rPr>
          <w:rFonts w:ascii="Times New Roman" w:eastAsia="Times New Roman" w:hAnsi="Times New Roman" w:cs="Times New Roman"/>
          <w:color w:val="000000" w:themeColor="text1"/>
          <w:lang w:val="en-GB" w:eastAsia="en-AU"/>
        </w:rPr>
        <w:t>Gidgee</w:t>
      </w:r>
      <w:proofErr w:type="spellEnd"/>
      <w:r w:rsidRPr="00784801">
        <w:rPr>
          <w:rFonts w:ascii="Times New Roman" w:eastAsia="Times New Roman" w:hAnsi="Times New Roman" w:cs="Times New Roman"/>
          <w:color w:val="000000" w:themeColor="text1"/>
          <w:lang w:val="en-GB" w:eastAsia="en-AU"/>
        </w:rPr>
        <w:t xml:space="preserve"> is classified as the 3rd hardest wood in the world, according to </w:t>
      </w:r>
      <w:hyperlink r:id="rId10" w:tgtFrame="_blank" w:tooltip="The Wood Data Base" w:history="1">
        <w:r w:rsidRPr="00784801">
          <w:rPr>
            <w:rFonts w:ascii="Times New Roman" w:eastAsia="Times New Roman" w:hAnsi="Times New Roman" w:cs="Times New Roman"/>
            <w:color w:val="000000" w:themeColor="text1"/>
            <w:lang w:val="en-GB" w:eastAsia="en-AU"/>
          </w:rPr>
          <w:t>The Wood Data Base</w:t>
        </w:r>
      </w:hyperlink>
      <w:r w:rsidRPr="00784801">
        <w:rPr>
          <w:rFonts w:ascii="Times New Roman" w:eastAsia="Times New Roman" w:hAnsi="Times New Roman" w:cs="Times New Roman"/>
          <w:color w:val="000000" w:themeColor="text1"/>
          <w:lang w:val="en-GB" w:eastAsia="en-AU"/>
        </w:rPr>
        <w:t xml:space="preserve">. </w:t>
      </w:r>
      <w:proofErr w:type="spellStart"/>
      <w:r w:rsidRPr="00784801">
        <w:rPr>
          <w:rFonts w:ascii="Times New Roman" w:eastAsia="Times New Roman" w:hAnsi="Times New Roman" w:cs="Times New Roman"/>
          <w:color w:val="000000" w:themeColor="text1"/>
          <w:lang w:val="en-GB" w:eastAsia="en-AU"/>
        </w:rPr>
        <w:t>Janka</w:t>
      </w:r>
      <w:proofErr w:type="spellEnd"/>
      <w:r w:rsidRPr="00784801">
        <w:rPr>
          <w:rFonts w:ascii="Times New Roman" w:eastAsia="Times New Roman" w:hAnsi="Times New Roman" w:cs="Times New Roman"/>
          <w:color w:val="000000" w:themeColor="text1"/>
          <w:lang w:val="en-GB" w:eastAsia="en-AU"/>
        </w:rPr>
        <w:t xml:space="preserve"> hardness test measures the hardness of wood and rates this timer at 19. </w:t>
      </w:r>
      <w:r>
        <w:rPr>
          <w:rFonts w:ascii="Times New Roman" w:eastAsia="Times New Roman" w:hAnsi="Times New Roman" w:cs="Times New Roman"/>
          <w:color w:val="000000" w:themeColor="text1"/>
          <w:lang w:val="en-GB" w:eastAsia="en-AU"/>
        </w:rPr>
        <w:t xml:space="preserve"> </w:t>
      </w:r>
    </w:p>
    <w:p w:rsidR="00784801" w:rsidRPr="00784801" w:rsidRDefault="00784801" w:rsidP="00784801">
      <w:pPr>
        <w:pStyle w:val="ListParagraph"/>
        <w:spacing w:after="150" w:line="300" w:lineRule="atLeast"/>
        <w:rPr>
          <w:rFonts w:ascii="Times New Roman" w:eastAsia="Times New Roman" w:hAnsi="Times New Roman" w:cs="Times New Roman"/>
          <w:color w:val="000000" w:themeColor="text1"/>
          <w:lang w:val="en-GB" w:eastAsia="en-AU"/>
        </w:rPr>
      </w:pPr>
      <w:r w:rsidRPr="00784801">
        <w:rPr>
          <w:rFonts w:ascii="Times New Roman" w:eastAsia="Times New Roman" w:hAnsi="Times New Roman" w:cs="Times New Roman"/>
          <w:color w:val="000000" w:themeColor="text1"/>
          <w:lang w:val="en-GB" w:eastAsia="en-AU"/>
        </w:rPr>
        <w:t>(</w:t>
      </w:r>
      <w:proofErr w:type="spellStart"/>
      <w:r w:rsidRPr="00784801">
        <w:rPr>
          <w:rFonts w:ascii="Times New Roman" w:eastAsia="Times New Roman" w:hAnsi="Times New Roman" w:cs="Times New Roman"/>
          <w:color w:val="000000" w:themeColor="text1"/>
          <w:lang w:val="en-GB" w:eastAsia="en-AU"/>
        </w:rPr>
        <w:fldChar w:fldCharType="begin"/>
      </w:r>
      <w:r w:rsidRPr="00784801">
        <w:rPr>
          <w:rFonts w:ascii="Times New Roman" w:eastAsia="Times New Roman" w:hAnsi="Times New Roman" w:cs="Times New Roman"/>
          <w:color w:val="000000" w:themeColor="text1"/>
          <w:lang w:val="en-GB" w:eastAsia="en-AU"/>
        </w:rPr>
        <w:instrText xml:space="preserve"> HYPERLINK "http://www.borthwick.com.au/species/hardness-rating" \t "_blank" </w:instrText>
      </w:r>
      <w:r w:rsidRPr="00784801">
        <w:rPr>
          <w:rFonts w:ascii="Times New Roman" w:eastAsia="Times New Roman" w:hAnsi="Times New Roman" w:cs="Times New Roman"/>
          <w:color w:val="000000" w:themeColor="text1"/>
          <w:lang w:val="en-GB" w:eastAsia="en-AU"/>
        </w:rPr>
        <w:fldChar w:fldCharType="separate"/>
      </w:r>
      <w:r w:rsidRPr="00784801">
        <w:rPr>
          <w:rFonts w:ascii="Times New Roman" w:eastAsia="Times New Roman" w:hAnsi="Times New Roman" w:cs="Times New Roman"/>
          <w:color w:val="000000" w:themeColor="text1"/>
          <w:lang w:val="en-GB" w:eastAsia="en-AU"/>
        </w:rPr>
        <w:t>Janka</w:t>
      </w:r>
      <w:proofErr w:type="spellEnd"/>
      <w:r w:rsidRPr="00784801">
        <w:rPr>
          <w:rFonts w:ascii="Times New Roman" w:eastAsia="Times New Roman" w:hAnsi="Times New Roman" w:cs="Times New Roman"/>
          <w:color w:val="000000" w:themeColor="text1"/>
          <w:lang w:val="en-GB" w:eastAsia="en-AU"/>
        </w:rPr>
        <w:t xml:space="preserve"> Hardness Test)</w:t>
      </w:r>
      <w:r w:rsidRPr="00784801">
        <w:rPr>
          <w:rFonts w:ascii="Times New Roman" w:eastAsia="Times New Roman" w:hAnsi="Times New Roman" w:cs="Times New Roman"/>
          <w:color w:val="000000" w:themeColor="text1"/>
          <w:lang w:val="en-GB" w:eastAsia="en-AU"/>
        </w:rPr>
        <w:fldChar w:fldCharType="end"/>
      </w:r>
    </w:p>
    <w:p w:rsidR="00784801" w:rsidRPr="00784801" w:rsidRDefault="00784801" w:rsidP="00784801">
      <w:pPr>
        <w:pStyle w:val="ListParagraph"/>
        <w:numPr>
          <w:ilvl w:val="0"/>
          <w:numId w:val="2"/>
        </w:numPr>
        <w:spacing w:after="150" w:line="300" w:lineRule="atLeast"/>
        <w:rPr>
          <w:rFonts w:ascii="Times New Roman" w:eastAsia="Times New Roman" w:hAnsi="Times New Roman" w:cs="Times New Roman"/>
          <w:color w:val="000000" w:themeColor="text1"/>
          <w:lang w:val="en-GB" w:eastAsia="en-AU"/>
        </w:rPr>
      </w:pPr>
      <w:r w:rsidRPr="00784801">
        <w:rPr>
          <w:rFonts w:ascii="Times New Roman" w:eastAsia="Times New Roman" w:hAnsi="Times New Roman" w:cs="Times New Roman"/>
          <w:color w:val="000000" w:themeColor="text1"/>
          <w:lang w:val="en-GB" w:eastAsia="en-AU"/>
        </w:rPr>
        <w:t xml:space="preserve">The timber is primarily used for fence posts because of </w:t>
      </w:r>
      <w:proofErr w:type="spellStart"/>
      <w:proofErr w:type="gramStart"/>
      <w:r w:rsidRPr="00784801">
        <w:rPr>
          <w:rFonts w:ascii="Times New Roman" w:eastAsia="Times New Roman" w:hAnsi="Times New Roman" w:cs="Times New Roman"/>
          <w:color w:val="000000" w:themeColor="text1"/>
          <w:lang w:val="en-GB" w:eastAsia="en-AU"/>
        </w:rPr>
        <w:t>it's</w:t>
      </w:r>
      <w:proofErr w:type="spellEnd"/>
      <w:proofErr w:type="gramEnd"/>
      <w:r w:rsidRPr="00784801">
        <w:rPr>
          <w:rFonts w:ascii="Times New Roman" w:eastAsia="Times New Roman" w:hAnsi="Times New Roman" w:cs="Times New Roman"/>
          <w:color w:val="000000" w:themeColor="text1"/>
          <w:lang w:val="en-GB" w:eastAsia="en-AU"/>
        </w:rPr>
        <w:t xml:space="preserve"> durability. They can last over 100 years in the ground. Much of the timber is not straight and can only be used for firewood or making charcoal.</w:t>
      </w:r>
    </w:p>
    <w:p w:rsidR="00784801" w:rsidRPr="00784801" w:rsidRDefault="00784801" w:rsidP="00784801">
      <w:pPr>
        <w:pStyle w:val="ListParagraph"/>
        <w:numPr>
          <w:ilvl w:val="0"/>
          <w:numId w:val="2"/>
        </w:numPr>
        <w:spacing w:after="150" w:line="300" w:lineRule="atLeast"/>
        <w:rPr>
          <w:rFonts w:ascii="Times New Roman" w:eastAsia="Times New Roman" w:hAnsi="Times New Roman" w:cs="Times New Roman"/>
          <w:color w:val="000000" w:themeColor="text1"/>
          <w:lang w:val="en-GB" w:eastAsia="en-AU"/>
        </w:rPr>
      </w:pPr>
      <w:r w:rsidRPr="00784801">
        <w:rPr>
          <w:rFonts w:ascii="Times New Roman" w:eastAsia="Times New Roman" w:hAnsi="Times New Roman" w:cs="Times New Roman"/>
          <w:color w:val="000000" w:themeColor="text1"/>
          <w:lang w:val="en-GB" w:eastAsia="en-AU"/>
        </w:rPr>
        <w:t>Machining the timber is difficult but the end result is very rewarding. Timber floors (that are almost scratch resistant), furniture, musical instruments and hand crafted pieces. When polished, the grain is extraordinary with excellent colour contrasts.</w:t>
      </w:r>
    </w:p>
    <w:p w:rsidR="00784801" w:rsidRPr="00784801" w:rsidRDefault="00784801" w:rsidP="00784801">
      <w:pPr>
        <w:pStyle w:val="ListParagraph"/>
        <w:spacing w:after="150" w:line="300" w:lineRule="atLeast"/>
        <w:rPr>
          <w:rFonts w:ascii="Times New Roman" w:eastAsia="Times New Roman" w:hAnsi="Times New Roman" w:cs="Times New Roman"/>
          <w:color w:val="000000" w:themeColor="text1"/>
          <w:lang w:val="en-GB"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085"/>
      </w:tblGrid>
      <w:tr w:rsidR="00784801" w:rsidRPr="00784801" w:rsidTr="00900174">
        <w:trPr>
          <w:tblCellSpacing w:w="15" w:type="dxa"/>
        </w:trPr>
        <w:tc>
          <w:tcPr>
            <w:tcW w:w="0" w:type="auto"/>
            <w:shd w:val="clear" w:color="auto" w:fill="auto"/>
            <w:vAlign w:val="center"/>
          </w:tcPr>
          <w:p w:rsidR="00784801" w:rsidRPr="00784801" w:rsidRDefault="00784801" w:rsidP="00784801">
            <w:pPr>
              <w:pStyle w:val="ListParagraph"/>
              <w:numPr>
                <w:ilvl w:val="0"/>
                <w:numId w:val="2"/>
              </w:numPr>
              <w:spacing w:after="300" w:line="300" w:lineRule="atLeast"/>
              <w:jc w:val="center"/>
              <w:rPr>
                <w:rFonts w:ascii="Times New Roman" w:eastAsia="Times New Roman" w:hAnsi="Times New Roman" w:cs="Times New Roman"/>
                <w:lang w:eastAsia="en-AU"/>
              </w:rPr>
            </w:pPr>
          </w:p>
        </w:tc>
        <w:tc>
          <w:tcPr>
            <w:tcW w:w="0" w:type="auto"/>
            <w:shd w:val="clear" w:color="auto" w:fill="auto"/>
            <w:vAlign w:val="center"/>
            <w:hideMark/>
          </w:tcPr>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1" w:tooltip="The Common Name lists the name(s) that most laypeople use when talking about the wood. It can sometimes be vague, because there are some instances where two different species of wood are called by the same common name. This field may also include trade names t" w:history="1">
              <w:r w:rsidRPr="00784801">
                <w:rPr>
                  <w:rFonts w:ascii="Times New Roman" w:eastAsia="Times New Roman" w:hAnsi="Times New Roman" w:cs="Times New Roman"/>
                  <w:b/>
                  <w:bCs/>
                  <w:lang w:eastAsia="en-AU"/>
                </w:rPr>
                <w:t>Common Name(s):</w:t>
              </w:r>
            </w:hyperlink>
            <w:r w:rsidRPr="00784801">
              <w:rPr>
                <w:rFonts w:ascii="Times New Roman" w:eastAsia="Times New Roman" w:hAnsi="Times New Roman" w:cs="Times New Roman"/>
                <w:lang w:eastAsia="en-AU"/>
              </w:rPr>
              <w:t> Gidgee</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2" w:tooltip="In contrast to a wood’s common name, using the scientific or botanical name is a much more precise way of referencing wood: the only downside is that it’s Latin, and doesn’t make much sense to most English-speaking people. The name is listed in two parts: [/fu" w:history="1">
              <w:r w:rsidRPr="00784801">
                <w:rPr>
                  <w:rFonts w:ascii="Times New Roman" w:eastAsia="Times New Roman" w:hAnsi="Times New Roman" w:cs="Times New Roman"/>
                  <w:b/>
                  <w:bCs/>
                  <w:lang w:eastAsia="en-AU"/>
                </w:rPr>
                <w:t>Scientific Name:</w:t>
              </w:r>
            </w:hyperlink>
            <w:r w:rsidRPr="00784801">
              <w:rPr>
                <w:rFonts w:ascii="Times New Roman" w:eastAsia="Times New Roman" w:hAnsi="Times New Roman" w:cs="Times New Roman"/>
                <w:lang w:eastAsia="en-AU"/>
              </w:rPr>
              <w:t xml:space="preserve"> Acacia </w:t>
            </w:r>
            <w:proofErr w:type="spellStart"/>
            <w:r w:rsidRPr="00784801">
              <w:rPr>
                <w:rFonts w:ascii="Times New Roman" w:eastAsia="Times New Roman" w:hAnsi="Times New Roman" w:cs="Times New Roman"/>
                <w:lang w:eastAsia="en-AU"/>
              </w:rPr>
              <w:t>cambagei</w:t>
            </w:r>
            <w:proofErr w:type="spellEnd"/>
            <w:r w:rsidRPr="00784801">
              <w:rPr>
                <w:rFonts w:ascii="Times New Roman" w:eastAsia="Times New Roman" w:hAnsi="Times New Roman" w:cs="Times New Roman"/>
                <w:lang w:eastAsia="en-AU"/>
              </w:rPr>
              <w:t>, A. </w:t>
            </w:r>
            <w:proofErr w:type="spellStart"/>
            <w:r w:rsidRPr="00784801">
              <w:rPr>
                <w:rFonts w:ascii="Times New Roman" w:eastAsia="Times New Roman" w:hAnsi="Times New Roman" w:cs="Times New Roman"/>
                <w:lang w:eastAsia="en-AU"/>
              </w:rPr>
              <w:t>pruinocarpa</w:t>
            </w:r>
            <w:proofErr w:type="spellEnd"/>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3" w:tooltip="The distribution indicates the location(s) where the tree is commonly found; that is, where it naturally grows. Additional source data will be included on a wood species if it is commonly grown on a plantation or is harvested from some other non-native area." w:history="1">
              <w:r w:rsidRPr="00784801">
                <w:rPr>
                  <w:rFonts w:ascii="Times New Roman" w:eastAsia="Times New Roman" w:hAnsi="Times New Roman" w:cs="Times New Roman"/>
                  <w:b/>
                  <w:bCs/>
                  <w:lang w:eastAsia="en-AU"/>
                </w:rPr>
                <w:t>Distribution:</w:t>
              </w:r>
            </w:hyperlink>
            <w:r w:rsidRPr="00784801">
              <w:rPr>
                <w:rFonts w:ascii="Times New Roman" w:eastAsia="Times New Roman" w:hAnsi="Times New Roman" w:cs="Times New Roman"/>
                <w:lang w:eastAsia="en-AU"/>
              </w:rPr>
              <w:t xml:space="preserve"> Endemic to Australia</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4" w:tooltip="Beyond just giving a good visualization of how large the tree of a given wood species grows, (in height and diameter), these measurements can also help to give an idea of what size boards/lumber is available." w:history="1">
              <w:r w:rsidRPr="00784801">
                <w:rPr>
                  <w:rFonts w:ascii="Times New Roman" w:eastAsia="Times New Roman" w:hAnsi="Times New Roman" w:cs="Times New Roman"/>
                  <w:b/>
                  <w:bCs/>
                  <w:lang w:eastAsia="en-AU"/>
                </w:rPr>
                <w:t>Tree Size:</w:t>
              </w:r>
            </w:hyperlink>
            <w:r w:rsidRPr="00784801">
              <w:rPr>
                <w:rFonts w:ascii="Times New Roman" w:eastAsia="Times New Roman" w:hAnsi="Times New Roman" w:cs="Times New Roman"/>
                <w:lang w:eastAsia="en-AU"/>
              </w:rPr>
              <w:t xml:space="preserve"> 20-40 </w:t>
            </w:r>
            <w:proofErr w:type="spellStart"/>
            <w:r w:rsidRPr="00784801">
              <w:rPr>
                <w:rFonts w:ascii="Times New Roman" w:eastAsia="Times New Roman" w:hAnsi="Times New Roman" w:cs="Times New Roman"/>
                <w:lang w:eastAsia="en-AU"/>
              </w:rPr>
              <w:t>ft</w:t>
            </w:r>
            <w:proofErr w:type="spellEnd"/>
            <w:r w:rsidRPr="00784801">
              <w:rPr>
                <w:rFonts w:ascii="Times New Roman" w:eastAsia="Times New Roman" w:hAnsi="Times New Roman" w:cs="Times New Roman"/>
                <w:lang w:eastAsia="en-AU"/>
              </w:rPr>
              <w:t xml:space="preserve"> (6-12 m) tall, 1 </w:t>
            </w:r>
            <w:proofErr w:type="spellStart"/>
            <w:r w:rsidRPr="00784801">
              <w:rPr>
                <w:rFonts w:ascii="Times New Roman" w:eastAsia="Times New Roman" w:hAnsi="Times New Roman" w:cs="Times New Roman"/>
                <w:lang w:eastAsia="en-AU"/>
              </w:rPr>
              <w:t>ft</w:t>
            </w:r>
            <w:proofErr w:type="spellEnd"/>
            <w:r w:rsidRPr="00784801">
              <w:rPr>
                <w:rFonts w:ascii="Times New Roman" w:eastAsia="Times New Roman" w:hAnsi="Times New Roman" w:cs="Times New Roman"/>
                <w:lang w:eastAsia="en-AU"/>
              </w:rPr>
              <w:t xml:space="preserve"> (.3 m) trunk diameter</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5" w:tooltip="This is a measure of a wood’s weight in relation to a preset volume. Usually it’s pounds per cubic foot (lbs/ft3), or in metric units: kilograms per cubic meter (kg/m3). However, a wood’s weight will also greatly depend on it’s moisture content (MC); all readi" w:history="1">
              <w:r w:rsidRPr="00784801">
                <w:rPr>
                  <w:rFonts w:ascii="Times New Roman" w:eastAsia="Times New Roman" w:hAnsi="Times New Roman" w:cs="Times New Roman"/>
                  <w:b/>
                  <w:bCs/>
                  <w:lang w:eastAsia="en-AU"/>
                </w:rPr>
                <w:t>Average Dried Weight:</w:t>
              </w:r>
            </w:hyperlink>
            <w:r w:rsidRPr="00784801">
              <w:rPr>
                <w:rFonts w:ascii="Times New Roman" w:eastAsia="Times New Roman" w:hAnsi="Times New Roman" w:cs="Times New Roman"/>
                <w:lang w:eastAsia="en-AU"/>
              </w:rPr>
              <w:t> 72 lbs/ft</w:t>
            </w:r>
            <w:r w:rsidRPr="00784801">
              <w:rPr>
                <w:rFonts w:ascii="Times New Roman" w:eastAsia="Times New Roman" w:hAnsi="Times New Roman" w:cs="Times New Roman"/>
                <w:vertAlign w:val="superscript"/>
                <w:lang w:eastAsia="en-AU"/>
              </w:rPr>
              <w:t>3</w:t>
            </w:r>
            <w:r w:rsidRPr="00784801">
              <w:rPr>
                <w:rFonts w:ascii="Times New Roman" w:eastAsia="Times New Roman" w:hAnsi="Times New Roman" w:cs="Times New Roman"/>
                <w:lang w:eastAsia="en-AU"/>
              </w:rPr>
              <w:t xml:space="preserve"> (1,150 kg/m</w:t>
            </w:r>
            <w:r w:rsidRPr="00784801">
              <w:rPr>
                <w:rFonts w:ascii="Times New Roman" w:eastAsia="Times New Roman" w:hAnsi="Times New Roman" w:cs="Times New Roman"/>
                <w:vertAlign w:val="superscript"/>
                <w:lang w:eastAsia="en-AU"/>
              </w:rPr>
              <w:t>3</w:t>
            </w:r>
            <w:r w:rsidRPr="00784801">
              <w:rPr>
                <w:rFonts w:ascii="Times New Roman" w:eastAsia="Times New Roman" w:hAnsi="Times New Roman" w:cs="Times New Roman"/>
                <w:lang w:eastAsia="en-AU"/>
              </w:rPr>
              <w:t>)</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6" w:tooltip="Technically, specific gravity is a measure of the ratio of a wood’s density as compared to water. (So if a wood is of the same density as water, the specific gravity would be 1.00.)  The first number is the basic specific gravity, based on the botanical standa" w:history="1">
              <w:r w:rsidRPr="00784801">
                <w:rPr>
                  <w:rFonts w:ascii="Times New Roman" w:eastAsia="Times New Roman" w:hAnsi="Times New Roman" w:cs="Times New Roman"/>
                  <w:b/>
                  <w:bCs/>
                  <w:lang w:eastAsia="en-AU"/>
                </w:rPr>
                <w:t>Specific Gravity (Basic, 12% MC):</w:t>
              </w:r>
            </w:hyperlink>
            <w:r w:rsidRPr="00784801">
              <w:rPr>
                <w:rFonts w:ascii="Times New Roman" w:eastAsia="Times New Roman" w:hAnsi="Times New Roman" w:cs="Times New Roman"/>
                <w:lang w:eastAsia="en-AU"/>
              </w:rPr>
              <w:t xml:space="preserve"> .93, 1.15</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7" w:tooltip="The actual number listed is the amount of pounds-force (lbf) or newtons (N) required to imbed a .444 inch (11.28 mm) diameter steel ball into the wood to half the ball’s diameter. This number is given for wood that has been dried to a 12% moisture content, unl" w:history="1">
              <w:proofErr w:type="spellStart"/>
              <w:r w:rsidRPr="00784801">
                <w:rPr>
                  <w:rFonts w:ascii="Times New Roman" w:eastAsia="Times New Roman" w:hAnsi="Times New Roman" w:cs="Times New Roman"/>
                  <w:b/>
                  <w:bCs/>
                  <w:lang w:eastAsia="en-AU"/>
                </w:rPr>
                <w:t>Janka</w:t>
              </w:r>
              <w:proofErr w:type="spellEnd"/>
              <w:r w:rsidRPr="00784801">
                <w:rPr>
                  <w:rFonts w:ascii="Times New Roman" w:eastAsia="Times New Roman" w:hAnsi="Times New Roman" w:cs="Times New Roman"/>
                  <w:b/>
                  <w:bCs/>
                  <w:lang w:eastAsia="en-AU"/>
                </w:rPr>
                <w:t xml:space="preserve"> Hardness:</w:t>
              </w:r>
            </w:hyperlink>
            <w:r w:rsidRPr="00784801">
              <w:rPr>
                <w:rFonts w:ascii="Times New Roman" w:eastAsia="Times New Roman" w:hAnsi="Times New Roman" w:cs="Times New Roman"/>
                <w:lang w:eastAsia="en-AU"/>
              </w:rPr>
              <w:t xml:space="preserve"> 4,270 </w:t>
            </w:r>
            <w:proofErr w:type="spellStart"/>
            <w:r w:rsidRPr="00784801">
              <w:rPr>
                <w:rFonts w:ascii="Times New Roman" w:eastAsia="Times New Roman" w:hAnsi="Times New Roman" w:cs="Times New Roman"/>
                <w:lang w:eastAsia="en-AU"/>
              </w:rPr>
              <w:t>lb</w:t>
            </w:r>
            <w:r w:rsidRPr="00784801">
              <w:rPr>
                <w:rFonts w:ascii="Times New Roman" w:eastAsia="Times New Roman" w:hAnsi="Times New Roman" w:cs="Times New Roman"/>
                <w:vertAlign w:val="subscript"/>
                <w:lang w:eastAsia="en-AU"/>
              </w:rPr>
              <w:t>f</w:t>
            </w:r>
            <w:proofErr w:type="spellEnd"/>
            <w:r w:rsidRPr="00784801">
              <w:rPr>
                <w:rFonts w:ascii="Times New Roman" w:eastAsia="Times New Roman" w:hAnsi="Times New Roman" w:cs="Times New Roman"/>
                <w:lang w:eastAsia="en-AU"/>
              </w:rPr>
              <w:t xml:space="preserve"> (18,990 N)</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8" w:tooltip="Modulus of rupture, frequently abbreviated as MOR, (sometimes referred to as bending strength), is a measure of a specimen’s strength before rupture. It can be used to determine a wood species’ overall strength; unlike the modulus of elasticity, which measures" w:history="1">
              <w:r w:rsidRPr="00784801">
                <w:rPr>
                  <w:rFonts w:ascii="Times New Roman" w:eastAsia="Times New Roman" w:hAnsi="Times New Roman" w:cs="Times New Roman"/>
                  <w:b/>
                  <w:bCs/>
                  <w:lang w:eastAsia="en-AU"/>
                </w:rPr>
                <w:t>Modulus of Rupture:</w:t>
              </w:r>
            </w:hyperlink>
            <w:r w:rsidRPr="00784801">
              <w:rPr>
                <w:rFonts w:ascii="Times New Roman" w:eastAsia="Times New Roman" w:hAnsi="Times New Roman" w:cs="Times New Roman"/>
                <w:lang w:eastAsia="en-AU"/>
              </w:rPr>
              <w:t xml:space="preserve"> 18,850 </w:t>
            </w:r>
            <w:proofErr w:type="spellStart"/>
            <w:r w:rsidRPr="00784801">
              <w:rPr>
                <w:rFonts w:ascii="Times New Roman" w:eastAsia="Times New Roman" w:hAnsi="Times New Roman" w:cs="Times New Roman"/>
                <w:lang w:eastAsia="en-AU"/>
              </w:rPr>
              <w:t>lb</w:t>
            </w:r>
            <w:r w:rsidRPr="00784801">
              <w:rPr>
                <w:rFonts w:ascii="Times New Roman" w:eastAsia="Times New Roman" w:hAnsi="Times New Roman" w:cs="Times New Roman"/>
                <w:vertAlign w:val="subscript"/>
                <w:lang w:eastAsia="en-AU"/>
              </w:rPr>
              <w:t>f</w:t>
            </w:r>
            <w:proofErr w:type="spellEnd"/>
            <w:r w:rsidRPr="00784801">
              <w:rPr>
                <w:rFonts w:ascii="Times New Roman" w:eastAsia="Times New Roman" w:hAnsi="Times New Roman" w:cs="Times New Roman"/>
                <w:lang w:eastAsia="en-AU"/>
              </w:rPr>
              <w:t>/in</w:t>
            </w:r>
            <w:r w:rsidRPr="00784801">
              <w:rPr>
                <w:rFonts w:ascii="Times New Roman" w:eastAsia="Times New Roman" w:hAnsi="Times New Roman" w:cs="Times New Roman"/>
                <w:vertAlign w:val="superscript"/>
                <w:lang w:eastAsia="en-AU"/>
              </w:rPr>
              <w:t>2</w:t>
            </w:r>
            <w:r w:rsidRPr="00784801">
              <w:rPr>
                <w:rFonts w:ascii="Times New Roman" w:eastAsia="Times New Roman" w:hAnsi="Times New Roman" w:cs="Times New Roman"/>
                <w:lang w:eastAsia="en-AU"/>
              </w:rPr>
              <w:t xml:space="preserve"> (130.0 MPa)*</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19" w:tooltip="In the simplest terms, the modulus of elasticity (MOE) measures a wood’s stiffness, and is a good overall indicator of its strength. Technically it’s a measurement of the ratio of stress placed upon the wood compared to the strain (deformation) that the wood e" w:history="1">
              <w:r w:rsidRPr="00784801">
                <w:rPr>
                  <w:rFonts w:ascii="Times New Roman" w:eastAsia="Times New Roman" w:hAnsi="Times New Roman" w:cs="Times New Roman"/>
                  <w:b/>
                  <w:bCs/>
                  <w:lang w:eastAsia="en-AU"/>
                </w:rPr>
                <w:t>Elastic Modulus:</w:t>
              </w:r>
            </w:hyperlink>
            <w:r w:rsidRPr="00784801">
              <w:rPr>
                <w:rFonts w:ascii="Times New Roman" w:eastAsia="Times New Roman" w:hAnsi="Times New Roman" w:cs="Times New Roman"/>
                <w:lang w:eastAsia="en-AU"/>
              </w:rPr>
              <w:t xml:space="preserve"> 2,683,000 </w:t>
            </w:r>
            <w:proofErr w:type="spellStart"/>
            <w:r w:rsidRPr="00784801">
              <w:rPr>
                <w:rFonts w:ascii="Times New Roman" w:eastAsia="Times New Roman" w:hAnsi="Times New Roman" w:cs="Times New Roman"/>
                <w:lang w:eastAsia="en-AU"/>
              </w:rPr>
              <w:t>lb</w:t>
            </w:r>
            <w:r w:rsidRPr="00784801">
              <w:rPr>
                <w:rFonts w:ascii="Times New Roman" w:eastAsia="Times New Roman" w:hAnsi="Times New Roman" w:cs="Times New Roman"/>
                <w:vertAlign w:val="subscript"/>
                <w:lang w:eastAsia="en-AU"/>
              </w:rPr>
              <w:t>f</w:t>
            </w:r>
            <w:proofErr w:type="spellEnd"/>
            <w:r w:rsidRPr="00784801">
              <w:rPr>
                <w:rFonts w:ascii="Times New Roman" w:eastAsia="Times New Roman" w:hAnsi="Times New Roman" w:cs="Times New Roman"/>
                <w:lang w:eastAsia="en-AU"/>
              </w:rPr>
              <w:t>/in</w:t>
            </w:r>
            <w:r w:rsidRPr="00784801">
              <w:rPr>
                <w:rFonts w:ascii="Times New Roman" w:eastAsia="Times New Roman" w:hAnsi="Times New Roman" w:cs="Times New Roman"/>
                <w:vertAlign w:val="superscript"/>
                <w:lang w:eastAsia="en-AU"/>
              </w:rPr>
              <w:t>2</w:t>
            </w:r>
            <w:r w:rsidRPr="00784801">
              <w:rPr>
                <w:rFonts w:ascii="Times New Roman" w:eastAsia="Times New Roman" w:hAnsi="Times New Roman" w:cs="Times New Roman"/>
                <w:lang w:eastAsia="en-AU"/>
              </w:rPr>
              <w:t xml:space="preserve"> (18.50 </w:t>
            </w:r>
            <w:proofErr w:type="spellStart"/>
            <w:r w:rsidRPr="00784801">
              <w:rPr>
                <w:rFonts w:ascii="Times New Roman" w:eastAsia="Times New Roman" w:hAnsi="Times New Roman" w:cs="Times New Roman"/>
                <w:lang w:eastAsia="en-AU"/>
              </w:rPr>
              <w:t>GPa</w:t>
            </w:r>
            <w:proofErr w:type="spellEnd"/>
            <w:r w:rsidRPr="00784801">
              <w:rPr>
                <w:rFonts w:ascii="Times New Roman" w:eastAsia="Times New Roman" w:hAnsi="Times New Roman" w:cs="Times New Roman"/>
                <w:lang w:eastAsia="en-AU"/>
              </w:rPr>
              <w:t>)*</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20" w:tooltip="Sometimes known as compression strength parallel to the grain, this is a measurement of the wood’s maximum crushing strength when weight is applied to the ends of the wood (compression is parallel to the grain). This number is a good indicator of the wood’s st" w:history="1">
              <w:r w:rsidRPr="00784801">
                <w:rPr>
                  <w:rFonts w:ascii="Times New Roman" w:eastAsia="Times New Roman" w:hAnsi="Times New Roman" w:cs="Times New Roman"/>
                  <w:b/>
                  <w:bCs/>
                  <w:lang w:eastAsia="en-AU"/>
                </w:rPr>
                <w:t>Crushing Strength:</w:t>
              </w:r>
            </w:hyperlink>
            <w:r w:rsidRPr="00784801">
              <w:rPr>
                <w:rFonts w:ascii="Times New Roman" w:eastAsia="Times New Roman" w:hAnsi="Times New Roman" w:cs="Times New Roman"/>
                <w:lang w:eastAsia="en-AU"/>
              </w:rPr>
              <w:t xml:space="preserve"> 10,150 </w:t>
            </w:r>
            <w:proofErr w:type="spellStart"/>
            <w:r w:rsidRPr="00784801">
              <w:rPr>
                <w:rFonts w:ascii="Times New Roman" w:eastAsia="Times New Roman" w:hAnsi="Times New Roman" w:cs="Times New Roman"/>
                <w:lang w:eastAsia="en-AU"/>
              </w:rPr>
              <w:t>lb</w:t>
            </w:r>
            <w:r w:rsidRPr="00784801">
              <w:rPr>
                <w:rFonts w:ascii="Times New Roman" w:eastAsia="Times New Roman" w:hAnsi="Times New Roman" w:cs="Times New Roman"/>
                <w:vertAlign w:val="subscript"/>
                <w:lang w:eastAsia="en-AU"/>
              </w:rPr>
              <w:t>f</w:t>
            </w:r>
            <w:proofErr w:type="spellEnd"/>
            <w:r w:rsidRPr="00784801">
              <w:rPr>
                <w:rFonts w:ascii="Times New Roman" w:eastAsia="Times New Roman" w:hAnsi="Times New Roman" w:cs="Times New Roman"/>
                <w:lang w:eastAsia="en-AU"/>
              </w:rPr>
              <w:t>/in</w:t>
            </w:r>
            <w:r w:rsidRPr="00784801">
              <w:rPr>
                <w:rFonts w:ascii="Times New Roman" w:eastAsia="Times New Roman" w:hAnsi="Times New Roman" w:cs="Times New Roman"/>
                <w:vertAlign w:val="superscript"/>
                <w:lang w:eastAsia="en-AU"/>
              </w:rPr>
              <w:t>2</w:t>
            </w:r>
            <w:r w:rsidRPr="00784801">
              <w:rPr>
                <w:rFonts w:ascii="Times New Roman" w:eastAsia="Times New Roman" w:hAnsi="Times New Roman" w:cs="Times New Roman"/>
                <w:lang w:eastAsia="en-AU"/>
              </w:rPr>
              <w:t xml:space="preserve"> (70.0 MPa)*</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r w:rsidRPr="00784801">
              <w:rPr>
                <w:rFonts w:ascii="Times New Roman" w:eastAsia="Times New Roman" w:hAnsi="Times New Roman" w:cs="Times New Roman"/>
                <w:i/>
                <w:iCs/>
                <w:lang w:eastAsia="en-AU"/>
              </w:rPr>
              <w:t>*Conservative values based on strength group/bracket</w:t>
            </w:r>
          </w:p>
          <w:p w:rsidR="00784801" w:rsidRPr="00784801" w:rsidRDefault="00784801" w:rsidP="00784801">
            <w:pPr>
              <w:pStyle w:val="ListParagraph"/>
              <w:numPr>
                <w:ilvl w:val="0"/>
                <w:numId w:val="2"/>
              </w:numPr>
              <w:spacing w:after="300" w:line="300" w:lineRule="atLeast"/>
              <w:rPr>
                <w:rFonts w:ascii="Times New Roman" w:eastAsia="Times New Roman" w:hAnsi="Times New Roman" w:cs="Times New Roman"/>
                <w:lang w:eastAsia="en-AU"/>
              </w:rPr>
            </w:pPr>
            <w:hyperlink r:id="rId21" w:tooltip="This denotes how much the wood will shrink dimensionally when going from green to ovendry MC. This is a good overall indicator of the wood's stability when encountering changes in humidity." w:history="1">
              <w:r w:rsidRPr="00784801">
                <w:rPr>
                  <w:rFonts w:ascii="Times New Roman" w:eastAsia="Times New Roman" w:hAnsi="Times New Roman" w:cs="Times New Roman"/>
                  <w:b/>
                  <w:bCs/>
                  <w:lang w:eastAsia="en-AU"/>
                </w:rPr>
                <w:t>Shrinkage:</w:t>
              </w:r>
            </w:hyperlink>
            <w:r w:rsidRPr="00784801">
              <w:rPr>
                <w:rFonts w:ascii="Times New Roman" w:eastAsia="Times New Roman" w:hAnsi="Times New Roman" w:cs="Times New Roman"/>
                <w:lang w:eastAsia="en-AU"/>
              </w:rPr>
              <w:t xml:space="preserve"> Radial: 4.0%, Tangential: 5.1%, Volumetric: 9.2%, T/R Ratio: 1.3</w:t>
            </w:r>
          </w:p>
        </w:tc>
        <w:bookmarkStart w:id="0" w:name="_GoBack"/>
        <w:bookmarkEnd w:id="0"/>
      </w:tr>
    </w:tbl>
    <w:p w:rsidR="00784801" w:rsidRDefault="00784801" w:rsidP="00784801">
      <w:pPr>
        <w:pStyle w:val="ListParagraph"/>
        <w:numPr>
          <w:ilvl w:val="0"/>
          <w:numId w:val="2"/>
        </w:numPr>
        <w:shd w:val="clear" w:color="auto" w:fill="FFFFFF" w:themeFill="background1"/>
        <w:spacing w:line="300" w:lineRule="atLeast"/>
        <w:jc w:val="both"/>
        <w:rPr>
          <w:rFonts w:ascii="Times New Roman" w:eastAsia="Times New Roman" w:hAnsi="Times New Roman" w:cs="Times New Roman"/>
          <w:i/>
          <w:iCs/>
          <w:lang w:val="en-US" w:eastAsia="en-AU"/>
        </w:rPr>
      </w:pPr>
      <w:hyperlink r:id="rId22" w:history="1">
        <w:r w:rsidRPr="00784801">
          <w:rPr>
            <w:rFonts w:ascii="Times New Roman" w:eastAsia="Times New Roman" w:hAnsi="Times New Roman" w:cs="Times New Roman"/>
            <w:b/>
            <w:bCs/>
            <w:i/>
            <w:iCs/>
            <w:lang w:val="en-US" w:eastAsia="en-AU"/>
          </w:rPr>
          <w:t>Color/Appearance:</w:t>
        </w:r>
      </w:hyperlink>
      <w:r w:rsidRPr="00784801">
        <w:rPr>
          <w:rFonts w:ascii="Times New Roman" w:eastAsia="Times New Roman" w:hAnsi="Times New Roman" w:cs="Times New Roman"/>
          <w:i/>
          <w:iCs/>
          <w:lang w:val="en-US" w:eastAsia="en-AU"/>
        </w:rPr>
        <w:t xml:space="preserve"> Heartwood is medium to dark reddish brown, sometimes with darker streaks. Sharply demarcated sapwood is yellow. Curly figuring is also seen on some pieces, and is called “ringed </w:t>
      </w:r>
      <w:proofErr w:type="spellStart"/>
      <w:r w:rsidRPr="00784801">
        <w:rPr>
          <w:rFonts w:ascii="Times New Roman" w:eastAsia="Times New Roman" w:hAnsi="Times New Roman" w:cs="Times New Roman"/>
          <w:i/>
          <w:iCs/>
          <w:lang w:val="en-US" w:eastAsia="en-AU"/>
        </w:rPr>
        <w:t>gidgee</w:t>
      </w:r>
      <w:proofErr w:type="spellEnd"/>
      <w:r w:rsidRPr="00784801">
        <w:rPr>
          <w:rFonts w:ascii="Times New Roman" w:eastAsia="Times New Roman" w:hAnsi="Times New Roman" w:cs="Times New Roman"/>
          <w:i/>
          <w:iCs/>
          <w:lang w:val="en-US" w:eastAsia="en-AU"/>
        </w:rPr>
        <w:t>.”</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For more information contact </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 David Bliss</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 Marketing manager</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 True Timbers a division of </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 True Fruits Australia Pty Ltd.</w:t>
      </w:r>
    </w:p>
    <w:p w:rsidR="007F71B9" w:rsidRPr="0024119C" w:rsidRDefault="007F71B9" w:rsidP="007F71B9">
      <w:pPr>
        <w:shd w:val="clear" w:color="auto" w:fill="FFFFFF" w:themeFill="background1"/>
        <w:spacing w:line="240" w:lineRule="auto"/>
        <w:jc w:val="both"/>
        <w:rPr>
          <w:rFonts w:ascii="Times New Roman" w:eastAsia="Times New Roman" w:hAnsi="Times New Roman" w:cs="Times New Roman"/>
          <w:b/>
          <w:i/>
          <w:iCs/>
          <w:sz w:val="20"/>
          <w:lang w:val="en-US" w:eastAsia="en-AU"/>
        </w:rPr>
      </w:pPr>
      <w:r w:rsidRPr="0024119C">
        <w:rPr>
          <w:rFonts w:ascii="Times New Roman" w:eastAsia="Times New Roman" w:hAnsi="Times New Roman" w:cs="Times New Roman"/>
          <w:b/>
          <w:i/>
          <w:iCs/>
          <w:sz w:val="20"/>
          <w:lang w:val="en-US" w:eastAsia="en-AU"/>
        </w:rPr>
        <w:t xml:space="preserve"> Email: David@terfels.com.au</w:t>
      </w:r>
    </w:p>
    <w:sectPr w:rsidR="007F71B9" w:rsidRPr="0024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6DB"/>
    <w:multiLevelType w:val="hybridMultilevel"/>
    <w:tmpl w:val="4AB0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CA5199"/>
    <w:multiLevelType w:val="hybridMultilevel"/>
    <w:tmpl w:val="605C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4F"/>
    <w:rsid w:val="001E6493"/>
    <w:rsid w:val="0024119C"/>
    <w:rsid w:val="0049084F"/>
    <w:rsid w:val="00784801"/>
    <w:rsid w:val="007E2C22"/>
    <w:rsid w:val="007F71B9"/>
    <w:rsid w:val="009F4AB8"/>
    <w:rsid w:val="00A2092F"/>
    <w:rsid w:val="00ED6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08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84F"/>
    <w:rPr>
      <w:rFonts w:ascii="Calibri" w:hAnsi="Calibri"/>
      <w:szCs w:val="21"/>
    </w:rPr>
  </w:style>
  <w:style w:type="paragraph" w:styleId="BalloonText">
    <w:name w:val="Balloon Text"/>
    <w:basedOn w:val="Normal"/>
    <w:link w:val="BalloonTextChar"/>
    <w:uiPriority w:val="99"/>
    <w:semiHidden/>
    <w:unhideWhenUsed/>
    <w:rsid w:val="007E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2"/>
    <w:rPr>
      <w:rFonts w:ascii="Tahoma" w:hAnsi="Tahoma" w:cs="Tahoma"/>
      <w:sz w:val="16"/>
      <w:szCs w:val="16"/>
    </w:rPr>
  </w:style>
  <w:style w:type="table" w:styleId="TableGrid">
    <w:name w:val="Table Grid"/>
    <w:basedOn w:val="TableNormal"/>
    <w:uiPriority w:val="59"/>
    <w:rsid w:val="007E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08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84F"/>
    <w:rPr>
      <w:rFonts w:ascii="Calibri" w:hAnsi="Calibri"/>
      <w:szCs w:val="21"/>
    </w:rPr>
  </w:style>
  <w:style w:type="paragraph" w:styleId="BalloonText">
    <w:name w:val="Balloon Text"/>
    <w:basedOn w:val="Normal"/>
    <w:link w:val="BalloonTextChar"/>
    <w:uiPriority w:val="99"/>
    <w:semiHidden/>
    <w:unhideWhenUsed/>
    <w:rsid w:val="007E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2"/>
    <w:rPr>
      <w:rFonts w:ascii="Tahoma" w:hAnsi="Tahoma" w:cs="Tahoma"/>
      <w:sz w:val="16"/>
      <w:szCs w:val="16"/>
    </w:rPr>
  </w:style>
  <w:style w:type="table" w:styleId="TableGrid">
    <w:name w:val="Table Grid"/>
    <w:basedOn w:val="TableNormal"/>
    <w:uiPriority w:val="59"/>
    <w:rsid w:val="007E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od-database.com/wood-articles/distribution/" TargetMode="External"/><Relationship Id="rId18" Type="http://schemas.openxmlformats.org/officeDocument/2006/relationships/hyperlink" Target="http://www.wood-database.com/wood-articles/modulus-of-rupture/" TargetMode="External"/><Relationship Id="rId3" Type="http://schemas.microsoft.com/office/2007/relationships/stylesWithEffects" Target="stylesWithEffects.xml"/><Relationship Id="rId21" Type="http://schemas.openxmlformats.org/officeDocument/2006/relationships/hyperlink" Target="http://www.wood-database.com/wood-articles/dimensional-shrinkage/" TargetMode="External"/><Relationship Id="rId7" Type="http://schemas.openxmlformats.org/officeDocument/2006/relationships/image" Target="media/image1.jpeg"/><Relationship Id="rId12" Type="http://schemas.openxmlformats.org/officeDocument/2006/relationships/hyperlink" Target="http://www.wood-database.com/wood-articles/scientific-name/" TargetMode="External"/><Relationship Id="rId17" Type="http://schemas.openxmlformats.org/officeDocument/2006/relationships/hyperlink" Target="http://www.wood-database.com/wood-articles/janka-hardness/" TargetMode="External"/><Relationship Id="rId2" Type="http://schemas.openxmlformats.org/officeDocument/2006/relationships/styles" Target="styles.xml"/><Relationship Id="rId16" Type="http://schemas.openxmlformats.org/officeDocument/2006/relationships/hyperlink" Target="http://www.wood-database.com/wood-articles/specific-gravity/" TargetMode="External"/><Relationship Id="rId20" Type="http://schemas.openxmlformats.org/officeDocument/2006/relationships/hyperlink" Target="http://www.wood-database.com/wood-articles/crushing-strength/" TargetMode="External"/><Relationship Id="rId1" Type="http://schemas.openxmlformats.org/officeDocument/2006/relationships/numbering" Target="numbering.xml"/><Relationship Id="rId6" Type="http://schemas.openxmlformats.org/officeDocument/2006/relationships/hyperlink" Target="https://gidgee.net.au/" TargetMode="External"/><Relationship Id="rId11" Type="http://schemas.openxmlformats.org/officeDocument/2006/relationships/hyperlink" Target="http://www.wood-database.com/wood-articles/common-n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od-database.com/wood-articles/average-dried-weight/" TargetMode="External"/><Relationship Id="rId23" Type="http://schemas.openxmlformats.org/officeDocument/2006/relationships/fontTable" Target="fontTable.xml"/><Relationship Id="rId10" Type="http://schemas.openxmlformats.org/officeDocument/2006/relationships/hyperlink" Target="http://www.wood-database.com/gidgee/" TargetMode="External"/><Relationship Id="rId19" Type="http://schemas.openxmlformats.org/officeDocument/2006/relationships/hyperlink" Target="http://www.wood-database.com/wood-articles/modulus-of-elasticit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wood-database.com/wood-articles/tree-size/" TargetMode="External"/><Relationship Id="rId22" Type="http://schemas.openxmlformats.org/officeDocument/2006/relationships/hyperlink" Target="http://www.wood-database.com/wood-articles/wood-color-appea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bliss</dc:creator>
  <cp:lastModifiedBy>david bliss</cp:lastModifiedBy>
  <cp:revision>1</cp:revision>
  <cp:lastPrinted>2018-03-14T07:42:00Z</cp:lastPrinted>
  <dcterms:created xsi:type="dcterms:W3CDTF">2018-03-14T01:58:00Z</dcterms:created>
  <dcterms:modified xsi:type="dcterms:W3CDTF">2018-03-14T08:13:00Z</dcterms:modified>
</cp:coreProperties>
</file>